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00" w:line="600" w:lineRule="exact"/>
        <w:jc w:val="center"/>
        <w:textAlignment w:val="auto"/>
        <w:rPr>
          <w:rFonts w:hint="eastAsia" w:ascii="黑体" w:hAnsi="黑体" w:eastAsia="黑体" w:cs="黑体"/>
          <w:sz w:val="52"/>
          <w:szCs w:val="52"/>
        </w:rPr>
      </w:pPr>
      <w:r>
        <w:rPr>
          <w:rFonts w:hint="eastAsia" w:ascii="黑体" w:hAnsi="黑体" w:eastAsia="黑体" w:cs="黑体"/>
          <w:sz w:val="52"/>
          <w:szCs w:val="52"/>
        </w:rPr>
        <w:t>市场机构技术信息报备填报FAQ</w:t>
      </w:r>
    </w:p>
    <w:p>
      <w:pPr>
        <w:keepNext w:val="0"/>
        <w:keepLines w:val="0"/>
        <w:pageBreakBefore w:val="0"/>
        <w:widowControl w:val="0"/>
        <w:kinsoku/>
        <w:wordWrap/>
        <w:overflowPunct/>
        <w:topLinePunct w:val="0"/>
        <w:autoSpaceDE/>
        <w:autoSpaceDN/>
        <w:bidi w:val="0"/>
        <w:adjustRightInd/>
        <w:snapToGrid/>
        <w:spacing w:before="200" w:line="600" w:lineRule="exact"/>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（2024年7月27</w:t>
      </w:r>
      <w:bookmarkStart w:id="0" w:name="_GoBack"/>
      <w:bookmarkEnd w:id="0"/>
      <w:r>
        <w:rPr>
          <w:rFonts w:hint="eastAsia" w:ascii="黑体" w:hAnsi="黑体" w:eastAsia="黑体" w:cs="黑体"/>
          <w:sz w:val="28"/>
          <w:szCs w:val="28"/>
          <w:lang w:val="en-US" w:eastAsia="zh-CN"/>
        </w:rPr>
        <w:t>日更新）</w:t>
      </w:r>
    </w:p>
    <w:p>
      <w:pPr>
        <w:keepNext w:val="0"/>
        <w:keepLines w:val="0"/>
        <w:pageBreakBefore w:val="0"/>
        <w:widowControl w:val="0"/>
        <w:numPr>
          <w:ilvl w:val="0"/>
          <w:numId w:val="1"/>
        </w:numPr>
        <w:kinsoku/>
        <w:wordWrap/>
        <w:overflowPunct/>
        <w:topLinePunct w:val="0"/>
        <w:autoSpaceDE/>
        <w:autoSpaceDN/>
        <w:bidi w:val="0"/>
        <w:adjustRightInd/>
        <w:snapToGrid/>
        <w:spacing w:before="400" w:line="600" w:lineRule="exact"/>
        <w:ind w:left="0" w:right="0"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为什么要进行技术信息报备？</w:t>
      </w:r>
    </w:p>
    <w:p>
      <w:pPr>
        <w:keepNext w:val="0"/>
        <w:keepLines w:val="0"/>
        <w:pageBreakBefore w:val="0"/>
        <w:widowControl w:val="0"/>
        <w:numPr>
          <w:ilvl w:val="0"/>
          <w:numId w:val="0"/>
        </w:numPr>
        <w:kinsoku/>
        <w:wordWrap/>
        <w:overflowPunct/>
        <w:topLinePunct w:val="0"/>
        <w:autoSpaceDE/>
        <w:autoSpaceDN/>
        <w:bidi w:val="0"/>
        <w:adjustRightInd/>
        <w:snapToGrid/>
        <w:spacing w:after="400" w:line="600" w:lineRule="exact"/>
        <w:ind w:left="0" w:right="0" w:firstLine="640" w:firstLineChars="200"/>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根据《上海证券交易所会员管理规则适用指引第1号—会员交易及相关系统管理》第十六条之规定：“会员应当按照本所要求及时将交易及相关系统有关资料报送本所并及时更新，向本所报送的资料应当真实、准确、完整。”</w:t>
      </w:r>
    </w:p>
    <w:p>
      <w:pPr>
        <w:keepNext w:val="0"/>
        <w:keepLines w:val="0"/>
        <w:pageBreakBefore w:val="0"/>
        <w:widowControl w:val="0"/>
        <w:numPr>
          <w:ilvl w:val="0"/>
          <w:numId w:val="1"/>
        </w:numPr>
        <w:kinsoku/>
        <w:wordWrap/>
        <w:overflowPunct/>
        <w:topLinePunct w:val="0"/>
        <w:autoSpaceDE/>
        <w:autoSpaceDN/>
        <w:bidi w:val="0"/>
        <w:adjustRightInd/>
        <w:snapToGrid/>
        <w:spacing w:before="400" w:line="600" w:lineRule="exact"/>
        <w:ind w:left="0" w:right="0"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交易所如何使用这些数据？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其一，【监管需要】这些数据将在监管要求报备市场情况时，用于及时报告市场相关信息；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其二，【技术就绪需要】当交易所推出新业务或进行技术调整或者软件与文件下线时，这些数据将助力我们全面、及时地分析并掌握市场相关技术信息，确认市场技术的准备情况和时间表；</w:t>
      </w:r>
    </w:p>
    <w:p>
      <w:pPr>
        <w:keepNext w:val="0"/>
        <w:keepLines w:val="0"/>
        <w:pageBreakBefore w:val="0"/>
        <w:widowControl w:val="0"/>
        <w:numPr>
          <w:ilvl w:val="0"/>
          <w:numId w:val="0"/>
        </w:numPr>
        <w:kinsoku/>
        <w:wordWrap/>
        <w:overflowPunct/>
        <w:topLinePunct w:val="0"/>
        <w:autoSpaceDE/>
        <w:autoSpaceDN/>
        <w:bidi w:val="0"/>
        <w:adjustRightInd/>
        <w:snapToGrid/>
        <w:spacing w:after="400" w:line="600" w:lineRule="exact"/>
        <w:ind w:left="0" w:right="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其三，【应急需要】在应急场景下，这些数据能够帮助我们迅速、有效地将应急信息通知到相关市场机构，并第一时间研判市场可能受到的影响范围。</w:t>
      </w:r>
    </w:p>
    <w:p>
      <w:pPr>
        <w:keepNext w:val="0"/>
        <w:keepLines w:val="0"/>
        <w:pageBreakBefore w:val="0"/>
        <w:widowControl w:val="0"/>
        <w:numPr>
          <w:ilvl w:val="0"/>
          <w:numId w:val="1"/>
        </w:numPr>
        <w:kinsoku/>
        <w:wordWrap/>
        <w:overflowPunct/>
        <w:topLinePunct w:val="0"/>
        <w:autoSpaceDE/>
        <w:autoSpaceDN/>
        <w:bidi w:val="0"/>
        <w:adjustRightInd/>
        <w:snapToGrid/>
        <w:spacing w:before="400" w:line="600" w:lineRule="exact"/>
        <w:ind w:left="0" w:right="0"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报备地址是什么？</w:t>
      </w:r>
    </w:p>
    <w:p>
      <w:pPr>
        <w:keepNext w:val="0"/>
        <w:keepLines w:val="0"/>
        <w:pageBreakBefore w:val="0"/>
        <w:widowControl w:val="0"/>
        <w:numPr>
          <w:ilvl w:val="0"/>
          <w:numId w:val="0"/>
        </w:numPr>
        <w:kinsoku/>
        <w:wordWrap/>
        <w:overflowPunct/>
        <w:topLinePunct w:val="0"/>
        <w:autoSpaceDE/>
        <w:autoSpaceDN/>
        <w:bidi w:val="0"/>
        <w:adjustRightInd/>
        <w:snapToGrid/>
        <w:spacing w:after="400" w:line="60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https://idc.ztcloud.ssetech.com.cn/support/jsxxbb/</w:t>
      </w:r>
    </w:p>
    <w:p>
      <w:pPr>
        <w:keepNext w:val="0"/>
        <w:keepLines w:val="0"/>
        <w:pageBreakBefore w:val="0"/>
        <w:widowControl w:val="0"/>
        <w:numPr>
          <w:ilvl w:val="0"/>
          <w:numId w:val="1"/>
        </w:numPr>
        <w:kinsoku/>
        <w:wordWrap/>
        <w:overflowPunct/>
        <w:topLinePunct w:val="0"/>
        <w:autoSpaceDE/>
        <w:autoSpaceDN/>
        <w:bidi w:val="0"/>
        <w:adjustRightInd/>
        <w:snapToGrid/>
        <w:spacing w:before="400" w:line="600" w:lineRule="exact"/>
        <w:ind w:left="0" w:right="0"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在线填报对浏览器是否有要求？</w:t>
      </w:r>
    </w:p>
    <w:p>
      <w:pPr>
        <w:keepNext w:val="0"/>
        <w:keepLines w:val="0"/>
        <w:pageBreakBefore w:val="0"/>
        <w:widowControl w:val="0"/>
        <w:numPr>
          <w:ilvl w:val="0"/>
          <w:numId w:val="0"/>
        </w:numPr>
        <w:kinsoku/>
        <w:wordWrap/>
        <w:overflowPunct/>
        <w:topLinePunct w:val="0"/>
        <w:autoSpaceDE/>
        <w:autoSpaceDN/>
        <w:bidi w:val="0"/>
        <w:adjustRightInd/>
        <w:snapToGrid/>
        <w:spacing w:after="400" w:line="60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建议使用最新版谷歌Chrome浏览器进行填报。</w:t>
      </w:r>
    </w:p>
    <w:p>
      <w:pPr>
        <w:keepNext w:val="0"/>
        <w:keepLines w:val="0"/>
        <w:pageBreakBefore w:val="0"/>
        <w:widowControl w:val="0"/>
        <w:numPr>
          <w:ilvl w:val="0"/>
          <w:numId w:val="1"/>
        </w:numPr>
        <w:kinsoku/>
        <w:wordWrap/>
        <w:overflowPunct/>
        <w:topLinePunct w:val="0"/>
        <w:autoSpaceDE/>
        <w:autoSpaceDN/>
        <w:bidi w:val="0"/>
        <w:adjustRightInd/>
        <w:snapToGrid/>
        <w:spacing w:before="400" w:line="600" w:lineRule="exact"/>
        <w:ind w:left="0" w:right="0"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报备的频率是多久？</w:t>
      </w:r>
    </w:p>
    <w:p>
      <w:pPr>
        <w:keepNext w:val="0"/>
        <w:keepLines w:val="0"/>
        <w:pageBreakBefore w:val="0"/>
        <w:widowControl w:val="0"/>
        <w:numPr>
          <w:ilvl w:val="0"/>
          <w:numId w:val="0"/>
        </w:numPr>
        <w:kinsoku/>
        <w:wordWrap/>
        <w:overflowPunct/>
        <w:topLinePunct w:val="0"/>
        <w:autoSpaceDE/>
        <w:autoSpaceDN/>
        <w:bidi w:val="0"/>
        <w:adjustRightInd/>
        <w:snapToGrid/>
        <w:spacing w:after="400" w:line="60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首次报备之后，相关技术系统如果有重大版本调整(含业务开展的调整、文件使用的调整等），需要自系统变化后的10个工作日内进行报备。如无变化需每隔90个自然日进入市场技术信息报备模块点击“所有页面填报信息无变化”按钮，进行数据的确认。</w:t>
      </w:r>
    </w:p>
    <w:p>
      <w:pPr>
        <w:keepNext w:val="0"/>
        <w:keepLines w:val="0"/>
        <w:pageBreakBefore w:val="0"/>
        <w:widowControl w:val="0"/>
        <w:numPr>
          <w:ilvl w:val="0"/>
          <w:numId w:val="1"/>
        </w:numPr>
        <w:kinsoku/>
        <w:wordWrap/>
        <w:overflowPunct/>
        <w:topLinePunct w:val="0"/>
        <w:autoSpaceDE/>
        <w:autoSpaceDN/>
        <w:bidi w:val="0"/>
        <w:adjustRightInd/>
        <w:snapToGrid/>
        <w:spacing w:before="400" w:line="600" w:lineRule="exact"/>
        <w:ind w:left="0" w:right="0" w:firstLine="643" w:firstLineChars="200"/>
        <w:jc w:val="left"/>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如果技术信息没有变化，90天到期后忘记填报，系统会提醒吗？</w:t>
      </w:r>
    </w:p>
    <w:p>
      <w:pPr>
        <w:keepNext w:val="0"/>
        <w:keepLines w:val="0"/>
        <w:pageBreakBefore w:val="0"/>
        <w:widowControl w:val="0"/>
        <w:numPr>
          <w:ilvl w:val="0"/>
          <w:numId w:val="0"/>
        </w:numPr>
        <w:kinsoku/>
        <w:wordWrap/>
        <w:overflowPunct/>
        <w:topLinePunct w:val="0"/>
        <w:autoSpaceDE/>
        <w:autoSpaceDN/>
        <w:bidi w:val="0"/>
        <w:adjustRightInd/>
        <w:snapToGrid/>
        <w:spacing w:after="400" w:line="60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系统会自动记录市场机构最后一次的更新时间（以6个子栏目中最新更新的时间为准），在90个自然日到期后，会主动向信息填报人的手机及邮箱发送更新提醒。如果收到更新提醒的消息后，请自提醒消息接收日的10个工作日内，登录市场机构技术信息报备模块，点击“所有页面填报信息无变化”按钮，进行数据的确认。</w:t>
      </w:r>
    </w:p>
    <w:p>
      <w:pPr>
        <w:keepNext w:val="0"/>
        <w:keepLines w:val="0"/>
        <w:pageBreakBefore w:val="0"/>
        <w:widowControl w:val="0"/>
        <w:numPr>
          <w:ilvl w:val="0"/>
          <w:numId w:val="1"/>
        </w:numPr>
        <w:kinsoku/>
        <w:wordWrap/>
        <w:overflowPunct/>
        <w:topLinePunct w:val="0"/>
        <w:autoSpaceDE/>
        <w:autoSpaceDN/>
        <w:bidi w:val="0"/>
        <w:adjustRightInd/>
        <w:snapToGrid/>
        <w:spacing w:before="400" w:line="600" w:lineRule="exact"/>
        <w:ind w:left="0" w:right="0"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报备是否需要单独申请权限？</w:t>
      </w:r>
    </w:p>
    <w:p>
      <w:pPr>
        <w:keepNext w:val="0"/>
        <w:keepLines w:val="0"/>
        <w:pageBreakBefore w:val="0"/>
        <w:widowControl w:val="0"/>
        <w:numPr>
          <w:ilvl w:val="0"/>
          <w:numId w:val="0"/>
        </w:numPr>
        <w:kinsoku/>
        <w:wordWrap/>
        <w:overflowPunct/>
        <w:topLinePunct w:val="0"/>
        <w:autoSpaceDE/>
        <w:autoSpaceDN/>
        <w:bidi w:val="0"/>
        <w:adjustRightInd/>
        <w:snapToGrid/>
        <w:spacing w:after="400" w:line="60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市场技术信息报备模块有单独权限控制，需要各机构的市场技术服务平台机构管理员为子账号分配填报权限。</w:t>
      </w:r>
    </w:p>
    <w:p>
      <w:pPr>
        <w:keepNext w:val="0"/>
        <w:keepLines w:val="0"/>
        <w:pageBreakBefore w:val="0"/>
        <w:widowControl w:val="0"/>
        <w:numPr>
          <w:ilvl w:val="0"/>
          <w:numId w:val="1"/>
        </w:numPr>
        <w:kinsoku/>
        <w:wordWrap/>
        <w:overflowPunct/>
        <w:topLinePunct w:val="0"/>
        <w:autoSpaceDE/>
        <w:autoSpaceDN/>
        <w:bidi w:val="0"/>
        <w:adjustRightInd/>
        <w:snapToGrid/>
        <w:spacing w:before="400" w:line="600" w:lineRule="exact"/>
        <w:ind w:left="0" w:right="0"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“机构与联系人信息”中的技术系统负责人和技术系统应急联系人应该填写什么职级的人员？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sz w:val="32"/>
          <w:szCs w:val="32"/>
          <w:lang w:val="en-US" w:eastAsia="zh-CN"/>
        </w:rPr>
        <w:t>填写技术系统负责人的主要目的是当交易所有重大技术系统调整时，需要市场机构中高层技术管理人员进行确认和推动，例如印花税调整，像这种紧急的重大技术调整，我们需要及时通知到各机构技术部门的中高层领导，因此，我们需要掌握各市场机构技术系统的管理层人员信息。</w:t>
      </w:r>
      <w:r>
        <w:rPr>
          <w:rFonts w:hint="eastAsia" w:ascii="宋体" w:hAnsi="宋体" w:eastAsia="宋体" w:cs="宋体"/>
          <w:b w:val="0"/>
          <w:bCs w:val="0"/>
          <w:sz w:val="32"/>
          <w:szCs w:val="32"/>
          <w:lang w:val="en-US" w:eastAsia="zh-CN"/>
        </w:rPr>
        <w:t>这里的“技术系统负责人”建议填写“信息技术部门副总或以上管理人员”。联系方式一定要是手机号码。请勿填写固定电话。</w:t>
      </w:r>
    </w:p>
    <w:p>
      <w:pPr>
        <w:keepNext w:val="0"/>
        <w:keepLines w:val="0"/>
        <w:pageBreakBefore w:val="0"/>
        <w:widowControl w:val="0"/>
        <w:kinsoku/>
        <w:wordWrap/>
        <w:overflowPunct/>
        <w:topLinePunct w:val="0"/>
        <w:autoSpaceDE/>
        <w:autoSpaceDN/>
        <w:bidi w:val="0"/>
        <w:adjustRightInd/>
        <w:snapToGrid/>
        <w:spacing w:after="400" w:line="600" w:lineRule="exact"/>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技术系统的应急联系人，分为主备岗，当交易所出现应急情况或者需要进行应急演练、周末测试、业务就绪通知等情况时，将通过短信或者邮件方式通知应急联系人。因此，应急联系人建议填写熟悉交易系统（尤其是经纪相关的技术系统）或者直接执行相关运维职责的技术骨干人员。联系方式一定要是手机号码。请勿填写固定电话。</w:t>
      </w:r>
    </w:p>
    <w:p>
      <w:pPr>
        <w:keepNext w:val="0"/>
        <w:keepLines w:val="0"/>
        <w:pageBreakBefore w:val="0"/>
        <w:widowControl w:val="0"/>
        <w:numPr>
          <w:ilvl w:val="0"/>
          <w:numId w:val="1"/>
        </w:numPr>
        <w:kinsoku/>
        <w:wordWrap/>
        <w:overflowPunct/>
        <w:topLinePunct w:val="0"/>
        <w:autoSpaceDE/>
        <w:autoSpaceDN/>
        <w:bidi w:val="0"/>
        <w:adjustRightInd/>
        <w:snapToGrid/>
        <w:spacing w:before="400" w:line="600" w:lineRule="exact"/>
        <w:ind w:left="0" w:right="0"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如果没有机房驻场人员，机房运维值班电话应该怎么填写？</w:t>
      </w:r>
    </w:p>
    <w:p>
      <w:pPr>
        <w:keepNext w:val="0"/>
        <w:keepLines w:val="0"/>
        <w:pageBreakBefore w:val="0"/>
        <w:widowControl w:val="0"/>
        <w:numPr>
          <w:ilvl w:val="0"/>
          <w:numId w:val="0"/>
        </w:numPr>
        <w:kinsoku/>
        <w:wordWrap/>
        <w:overflowPunct/>
        <w:topLinePunct w:val="0"/>
        <w:autoSpaceDE/>
        <w:autoSpaceDN/>
        <w:bidi w:val="0"/>
        <w:adjustRightInd/>
        <w:snapToGrid/>
        <w:spacing w:after="400" w:line="60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此电话最主要的用途是应急使用，例如交易所出现某个文件数据错误需要更正的紧急情况，我们需要通知市场机构的值班人员，重新接收更正后的文件。因此，填报的值班电话要确保7*24小时有人接听，如果机构没有安排机房驻场人员，建议填写处理交易所盘后数据的运维值班电话，同样的要确保电话是7*24小时有人接听。</w:t>
      </w:r>
    </w:p>
    <w:p>
      <w:pPr>
        <w:keepNext w:val="0"/>
        <w:keepLines w:val="0"/>
        <w:pageBreakBefore w:val="0"/>
        <w:widowControl w:val="0"/>
        <w:numPr>
          <w:ilvl w:val="0"/>
          <w:numId w:val="1"/>
        </w:numPr>
        <w:kinsoku/>
        <w:wordWrap/>
        <w:overflowPunct/>
        <w:topLinePunct w:val="0"/>
        <w:autoSpaceDE/>
        <w:autoSpaceDN/>
        <w:bidi w:val="0"/>
        <w:adjustRightInd/>
        <w:snapToGrid/>
        <w:spacing w:before="400" w:line="600" w:lineRule="exact"/>
        <w:ind w:left="0" w:right="0"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运行中心的数据应该怎么填写？</w:t>
      </w:r>
    </w:p>
    <w:p>
      <w:pPr>
        <w:keepNext w:val="0"/>
        <w:keepLines w:val="0"/>
        <w:pageBreakBefore w:val="0"/>
        <w:widowControl w:val="0"/>
        <w:numPr>
          <w:ilvl w:val="0"/>
          <w:numId w:val="0"/>
        </w:numPr>
        <w:kinsoku/>
        <w:wordWrap/>
        <w:overflowPunct/>
        <w:topLinePunct w:val="0"/>
        <w:autoSpaceDE/>
        <w:autoSpaceDN/>
        <w:bidi w:val="0"/>
        <w:adjustRightInd/>
        <w:snapToGrid/>
        <w:spacing w:after="400" w:line="600" w:lineRule="exact"/>
        <w:ind w:firstLine="640" w:firstLineChars="200"/>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运行中心是指用户部署交易系统或者市场端软件所在的数据中心，此数据中心只要与上交所有数据交互，均需要报备，如果运行中心不在列示的数据中心选项之列，可以通过“其他”选项进行补充（2024年8月1日之后“其他”选项支持多选）。确认运行中心之后，需要确认此运行中心的交易线路和行情文件接收通道有哪些，据实填报即可。</w:t>
      </w:r>
    </w:p>
    <w:p>
      <w:pPr>
        <w:keepNext w:val="0"/>
        <w:keepLines w:val="0"/>
        <w:pageBreakBefore w:val="0"/>
        <w:widowControl w:val="0"/>
        <w:numPr>
          <w:ilvl w:val="0"/>
          <w:numId w:val="1"/>
        </w:numPr>
        <w:kinsoku/>
        <w:wordWrap/>
        <w:overflowPunct/>
        <w:topLinePunct w:val="0"/>
        <w:autoSpaceDE/>
        <w:autoSpaceDN/>
        <w:bidi w:val="0"/>
        <w:adjustRightInd/>
        <w:snapToGrid/>
        <w:spacing w:before="400" w:line="600" w:lineRule="exact"/>
        <w:ind w:left="0" w:right="0"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填报信息中的业务有“有资质，且已开展”和“有资质，暂未开展”，这两个选项应该怎么选择？</w:t>
      </w:r>
    </w:p>
    <w:p>
      <w:pPr>
        <w:keepNext w:val="0"/>
        <w:keepLines w:val="0"/>
        <w:pageBreakBefore w:val="0"/>
        <w:widowControl w:val="0"/>
        <w:numPr>
          <w:ilvl w:val="0"/>
          <w:numId w:val="0"/>
        </w:numPr>
        <w:kinsoku/>
        <w:wordWrap/>
        <w:overflowPunct/>
        <w:topLinePunct w:val="0"/>
        <w:autoSpaceDE/>
        <w:autoSpaceDN/>
        <w:bidi w:val="0"/>
        <w:adjustRightInd/>
        <w:snapToGrid/>
        <w:spacing w:after="400" w:line="60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这两个细分选项设计的目的是，当交易所业务和技术调整涉及到用户选的这项业务时，我们要优先与选择“有资质且已开展”的机构进行就绪确认，这些机构的就绪时间，将是我们确定业务和技术上线的重要判定条件。对于选择“有资质，暂未开展”的机构，可以视条件延后上线。</w:t>
      </w:r>
    </w:p>
    <w:p>
      <w:pPr>
        <w:keepNext w:val="0"/>
        <w:keepLines w:val="0"/>
        <w:pageBreakBefore w:val="0"/>
        <w:widowControl w:val="0"/>
        <w:numPr>
          <w:ilvl w:val="0"/>
          <w:numId w:val="1"/>
        </w:numPr>
        <w:kinsoku/>
        <w:wordWrap/>
        <w:overflowPunct/>
        <w:topLinePunct w:val="0"/>
        <w:autoSpaceDE/>
        <w:autoSpaceDN/>
        <w:bidi w:val="0"/>
        <w:adjustRightInd/>
        <w:snapToGrid/>
        <w:spacing w:before="400" w:line="600" w:lineRule="exact"/>
        <w:ind w:left="0" w:right="0" w:firstLine="643" w:firstLineChars="200"/>
        <w:jc w:val="left"/>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前端软件信息中的单站点IP和双站点IP以及不适用，应该怎么选择？</w:t>
      </w:r>
    </w:p>
    <w:p>
      <w:pPr>
        <w:keepNext w:val="0"/>
        <w:keepLines w:val="0"/>
        <w:pageBreakBefore w:val="0"/>
        <w:widowControl w:val="0"/>
        <w:numPr>
          <w:ilvl w:val="0"/>
          <w:numId w:val="0"/>
        </w:numPr>
        <w:kinsoku/>
        <w:wordWrap/>
        <w:overflowPunct/>
        <w:topLinePunct w:val="0"/>
        <w:autoSpaceDE/>
        <w:autoSpaceDN/>
        <w:bidi w:val="0"/>
        <w:adjustRightInd/>
        <w:snapToGrid/>
        <w:spacing w:after="400" w:line="600" w:lineRule="exact"/>
        <w:ind w:firstLine="640" w:firstLineChars="200"/>
        <w:jc w:val="left"/>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如果软件提供主备IP配置，请明确是否已配置双站点IP。如果软件不支持双站点IP配置，例如“证通云盘”，只能配置一个IP地址，请选择“不适用”，这里的“不适用”是指此软件不支持双站点IP配置。如果不用证通云盘，请选择“不使用”。</w:t>
      </w:r>
    </w:p>
    <w:p>
      <w:pPr>
        <w:keepNext w:val="0"/>
        <w:keepLines w:val="0"/>
        <w:pageBreakBefore w:val="0"/>
        <w:widowControl w:val="0"/>
        <w:numPr>
          <w:ilvl w:val="0"/>
          <w:numId w:val="1"/>
        </w:numPr>
        <w:kinsoku/>
        <w:wordWrap/>
        <w:overflowPunct/>
        <w:topLinePunct w:val="0"/>
        <w:autoSpaceDE/>
        <w:autoSpaceDN/>
        <w:bidi w:val="0"/>
        <w:adjustRightInd/>
        <w:snapToGrid/>
        <w:spacing w:before="400" w:line="600" w:lineRule="exact"/>
        <w:ind w:left="0" w:right="0"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如果使用的软件有不同的配置，应该怎么填写？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对于提供双站点IP配置的软件，例如交易网关，各机构需要确保每个交易网关均配置双站点IP，如果内部排查确认存在软件IP配置不一致的情况，请及时纠正。</w:t>
      </w:r>
    </w:p>
    <w:p>
      <w:pPr>
        <w:keepNext w:val="0"/>
        <w:keepLines w:val="0"/>
        <w:pageBreakBefore w:val="0"/>
        <w:widowControl w:val="0"/>
        <w:numPr>
          <w:ilvl w:val="0"/>
          <w:numId w:val="1"/>
        </w:numPr>
        <w:kinsoku/>
        <w:wordWrap/>
        <w:overflowPunct/>
        <w:topLinePunct w:val="0"/>
        <w:autoSpaceDE/>
        <w:autoSpaceDN/>
        <w:bidi w:val="0"/>
        <w:adjustRightInd/>
        <w:snapToGrid/>
        <w:spacing w:before="400" w:line="600" w:lineRule="exact"/>
        <w:ind w:left="0" w:right="0" w:firstLine="643" w:firstLineChars="200"/>
        <w:jc w:val="left"/>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如果填报过程中临时有其他工作需要处理，导致页面长时间未操作，填报数据是否会丢失？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填报过程中如果30分钟无操作，账户会自动退出，未提交的数据会丢失。因此，建议市场机构先通过各栏目的“下载基础数据”，将待填报的数据下载下来，内部确认完成后再登录填报。同时，请各市场机构填报时，及时点击“提交”按钮，以免填报的数据丢失。</w:t>
      </w:r>
    </w:p>
    <w:p>
      <w:pPr>
        <w:keepNext w:val="0"/>
        <w:keepLines w:val="0"/>
        <w:pageBreakBefore w:val="0"/>
        <w:widowControl w:val="0"/>
        <w:numPr>
          <w:ilvl w:val="0"/>
          <w:numId w:val="0"/>
        </w:numPr>
        <w:kinsoku/>
        <w:wordWrap/>
        <w:overflowPunct/>
        <w:topLinePunct w:val="0"/>
        <w:autoSpaceDE/>
        <w:autoSpaceDN/>
        <w:bidi w:val="0"/>
        <w:adjustRightInd/>
        <w:snapToGrid/>
        <w:spacing w:before="400" w:line="600" w:lineRule="exact"/>
        <w:ind w:leftChars="200" w:right="0" w:rightChars="0"/>
        <w:jc w:val="left"/>
        <w:textAlignment w:val="auto"/>
        <w:rPr>
          <w:rFonts w:hint="default" w:ascii="宋体" w:hAnsi="宋体" w:eastAsia="宋体" w:cs="宋体"/>
          <w:sz w:val="32"/>
          <w:szCs w:val="32"/>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lassGarmnd B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ragraph">
            <wp:posOffset>-150495</wp:posOffset>
          </wp:positionV>
          <wp:extent cx="1122045" cy="394970"/>
          <wp:effectExtent l="0" t="0" r="1905" b="5080"/>
          <wp:wrapNone/>
          <wp:docPr id="1061109315" name="图片 1061109315" descr="C:\Users\mengchenli.SSE\Downloads\技术公司logo_标识横式组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09315" name="图片 1061109315" descr="C:\Users\mengchenli.SSE\Downloads\技术公司logo_标识横式组合.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122045" cy="3949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3A8324"/>
    <w:multiLevelType w:val="singleLevel"/>
    <w:tmpl w:val="5C3A832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B6BBE"/>
    <w:rsid w:val="04477040"/>
    <w:rsid w:val="054E4D41"/>
    <w:rsid w:val="05F55FAB"/>
    <w:rsid w:val="065D2FEA"/>
    <w:rsid w:val="073B2858"/>
    <w:rsid w:val="07904788"/>
    <w:rsid w:val="083D3E29"/>
    <w:rsid w:val="0ACA1AC3"/>
    <w:rsid w:val="11AB2D09"/>
    <w:rsid w:val="14996D62"/>
    <w:rsid w:val="17E0380D"/>
    <w:rsid w:val="1C4E11E7"/>
    <w:rsid w:val="1D955B32"/>
    <w:rsid w:val="22036A77"/>
    <w:rsid w:val="27132FE6"/>
    <w:rsid w:val="28360721"/>
    <w:rsid w:val="29AC58EC"/>
    <w:rsid w:val="2C866019"/>
    <w:rsid w:val="3E2C3D68"/>
    <w:rsid w:val="4467719B"/>
    <w:rsid w:val="450A4C7D"/>
    <w:rsid w:val="45642565"/>
    <w:rsid w:val="45957C82"/>
    <w:rsid w:val="473E143E"/>
    <w:rsid w:val="536F365D"/>
    <w:rsid w:val="54C2699D"/>
    <w:rsid w:val="633B6BCF"/>
    <w:rsid w:val="638C15EC"/>
    <w:rsid w:val="64952D13"/>
    <w:rsid w:val="6B89260C"/>
    <w:rsid w:val="6BBD5A9E"/>
    <w:rsid w:val="6E814E96"/>
    <w:rsid w:val="6F7D5070"/>
    <w:rsid w:val="700E411D"/>
    <w:rsid w:val="7416243F"/>
    <w:rsid w:val="74F75B59"/>
    <w:rsid w:val="77446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5">
    <w:name w:val="Title"/>
    <w:basedOn w:val="1"/>
    <w:next w:val="4"/>
    <w:qFormat/>
    <w:uiPriority w:val="10"/>
    <w:pPr>
      <w:widowControl/>
      <w:suppressAutoHyphens/>
      <w:overflowPunct w:val="0"/>
      <w:autoSpaceDE w:val="0"/>
      <w:jc w:val="center"/>
    </w:pPr>
    <w:rPr>
      <w:rFonts w:ascii="ClassGarmnd BT" w:hAnsi="ClassGarmnd BT" w:eastAsia="宋体" w:cs="ClassGarmnd BT"/>
      <w:b/>
      <w:kern w:val="1"/>
      <w:sz w:val="32"/>
      <w:lang w:val="en-AU" w:eastAsia="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1820</Words>
  <Characters>1902</Characters>
  <Lines>0</Lines>
  <Paragraphs>0</Paragraphs>
  <TotalTime>18</TotalTime>
  <ScaleCrop>false</ScaleCrop>
  <LinksUpToDate>false</LinksUpToDate>
  <CharactersWithSpaces>1902</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2024-06-19T05:39:00Z</dcterms:created>
  <dc:creator>zhangyongjian</dc:creator>
  <cp:lastModifiedBy>张永剑</cp:lastModifiedBy>
  <dcterms:modified xsi:type="dcterms:W3CDTF">2024-07-27T01:03:11Z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196976CBB27A48AEA4810AAB25CFFDBC</vt:lpwstr>
  </property>
</Properties>
</file>